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UMOWA POWIERZENIA PRZETWARZANIA DANYCH OSOBOWYCH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zawarta na podstawie art. 28 ust. 3 Rozporządzenia Parlamentu Europejskiego i Rady (UE) 2016/679 (RODO)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Miejscowość i data zawarcia: </w:t>
      </w:r>
      <w:r>
        <w:rPr>
          <w:rFonts w:ascii="Calibri" w:cs="Calibri" w:eastAsia="Calibri" w:hAnsi="Calibri"/>
          <w:sz w:val="22"/>
          <w:szCs w:val="22"/>
        </w:rPr>
        <w:t xml:space="preserve">…………………………………………………………………………………………</w:t>
      </w:r>
    </w:p>
    <w:p>
      <w:pPr>
        <w:pBdr>
          <w:bottom w:val="single" w:color="999999" w:sz="6" w:space="4"/>
        </w:pBdr>
        <w:spacing w:after="240" w:before="120"/>
      </w:pPr>
      <w:r>
        <w:rPr>
          <w:sz w:val="2"/>
          <w:szCs w:val="2"/>
        </w:rPr>
        <w:t xml:space="preserve"/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Zawarta pomiędzy: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Piek-Dev Jarosław Piekarski</w:t>
      </w:r>
      <w:r>
        <w:rPr>
          <w:rFonts w:ascii="Calibri" w:cs="Calibri" w:eastAsia="Calibri" w:hAnsi="Calibri"/>
          <w:sz w:val="22"/>
          <w:szCs w:val="22"/>
        </w:rPr>
        <w:t xml:space="preserve">, ul. Zaborowskiej 8/16, 76-200 Słupsk, NIP: 8392919072, zwanym dalej „Procesorem”,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Nazwa / firma Administratora: </w:t>
      </w:r>
      <w:r>
        <w:rPr>
          <w:rFonts w:ascii="Calibri" w:cs="Calibri" w:eastAsia="Calibri" w:hAnsi="Calibri"/>
          <w:sz w:val="22"/>
          <w:szCs w:val="22"/>
        </w:rPr>
        <w:t xml:space="preserve">…………………………………………………………………………………………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Adres siedziby: </w:t>
      </w:r>
      <w:r>
        <w:rPr>
          <w:rFonts w:ascii="Calibri" w:cs="Calibri" w:eastAsia="Calibri" w:hAnsi="Calibri"/>
          <w:sz w:val="22"/>
          <w:szCs w:val="22"/>
        </w:rPr>
        <w:t xml:space="preserve">…………………………………………………………………………………………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NIP: </w:t>
      </w:r>
      <w:r>
        <w:rPr>
          <w:rFonts w:ascii="Calibri" w:cs="Calibri" w:eastAsia="Calibri" w:hAnsi="Calibri"/>
          <w:sz w:val="22"/>
          <w:szCs w:val="22"/>
        </w:rPr>
        <w:t xml:space="preserve">…………………………………………………………………………………………</w:t>
      </w:r>
    </w:p>
    <w:p>
      <w:pPr>
        <w:spacing w:after="1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Reprezentowanym przez: </w:t>
      </w:r>
      <w:r>
        <w:rPr>
          <w:rFonts w:ascii="Calibri" w:cs="Calibri" w:eastAsia="Calibri" w:hAnsi="Calibri"/>
          <w:sz w:val="22"/>
          <w:szCs w:val="22"/>
        </w:rPr>
        <w:t xml:space="preserve">…………………………………………………………………………………………</w:t>
      </w:r>
    </w:p>
    <w:p>
      <w:pPr>
        <w:spacing w:after="160" w:line="30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zwanym dalej „Administratorem”, łącznie zwanymi „Stronami”.</w:t>
      </w:r>
    </w:p>
    <w:p>
      <w:pPr>
        <w:pBdr>
          <w:bottom w:val="single" w:color="999999" w:sz="6" w:space="4"/>
        </w:pBdr>
        <w:spacing w:after="240" w:before="120"/>
      </w:pPr>
      <w:r>
        <w:rPr>
          <w:sz w:val="2"/>
          <w:szCs w:val="2"/>
        </w:rPr>
        <w:t xml:space="preserve"/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§1. Strony umowy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Administratorem danych osobowych (dalej: „Administrator”) jest klient zlecający usługi hostingu, administracji serwerem/systemem lub wsparcia technicznego strony internetowej albo infrastruktury IT, wskazany powyżej.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Podmiotem przetwarzającym (dalej: „Procesor”) jest Piek-Dev Jarosław Piekarski, ul. Zaborowskiej 8/16, 76-200 Słupsk, NIP: 8392919072.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§2. Przedmiot i cel umowy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Niniejsza umowa powierzenia przetwarzania danych osobowych (dalej: „Umowa”) określa zasady przetwarzania przez Procesora danych osobowych powierzonych przez Administratora w związku ze świadczeniem usług hostingu, administracji serwerem lub systemem, wdrożenia i utrzymania strony internetowej, wykonywania kopii zapasowych lub wsparcia technicznego (dalej: „Usługi Główne”), szczegółowo opisanych w odrębnej umowie, zamówieniu lub ofercie zaakceptowanej przez Administratora.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Umowa stanowi realizację obowiązku, o którym mowa w art. 28 ust. 3 RODO.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§3. Zakres, charakter i cel przetwarzania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Procesor przetwarza dane osobowe wyłącznie w zakresie niezbędnym do wykonania Usług Głównych, w szczególności w celu: utrzymania działania serwera lub hostingu, wykonywania kopii zapasowych, monitorowania dostępności i bezpieczeństwa, instalacji aktualizacji, usuwania awarii oraz udzielania wsparcia technicznego.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Szczegółowy zakres przetwarzanych danych, kategorie osób, których dane dotyczą, oraz charakter przetwarzania określa Załącznik nr 1 do Umowy.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Procesor nie przetwarza powierzonych danych w celach innych niż określone w Umowie, chyba że obowiązek taki nakłada prawo Unii lub prawo polskie — w takim przypadku przed rozpoczęciem przetwarzania informuje o tym wymogu prawnym Administratora, o ile prawo to nie zabrania udzielenia takiej informacji.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§4. Czas trwania powierzenia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Umowa obowiązuje przez okres trwania Usług Głównych i wygasa z chwilą ich zakończenia, rozwiązania lub wygaśnięcia, z zastrzeżeniem postanowień §10 dotyczących zakończenia przetwarzania.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§5. Obowiązki Procesora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Procesor zobowiązuje się, że: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przetwarza dane osobowe wyłącznie na udokumentowane polecenie Administratora, w tym w zakresie przekazywania danych do państwa trzeciego lub organizacji międzynarodowej, chyba że obowiązek taki nakłada na niego prawo Unii lub prawo polskie;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zapewnia, by osoby upoważnione do przetwarzania danych osobowych zobowiązały się do zachowania tajemnicy lub podlegały odpowiedniemu ustawowemu obowiązkowi jej zachowania;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podejmuje wszelkie środki wymagane na mocy art. 32 RODO, opisane w §7 Umowy;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przestrzega warunków korzystania z usług innego podmiotu przetwarzającego (podprocesora), o których mowa w §6;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uwzględniając charakter przetwarzania, w miarę możliwości pomaga Administratorowi — poprzez odpowiednie środki techniczne i organizacyjne — wywiązać się z obowiązku odpowiadania na żądania osoby, której dane dotyczą, w zakresie wykonywania jej praw określonych w rozdziale III RODO;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uwzględniając charakter przetwarzania oraz dostępne mu informacje, pomaga Administratorowi wywiązać się z obowiązków określonych w art. 32–36 RODO (bezpieczeństwo przetwarzania, zgłaszanie naruszeń, oceny skutków dla ochrony danych, konsultacje z organem nadzorczym);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po zakończeniu świadczenia Usług Głównych, zgodnie z decyzją Administratora, usuwa lub zwraca mu wszelkie dane osobowe oraz usuwa wszelkie ich istniejące kopie, chyba że prawo Unii lub prawo polskie nakazują przechowywanie danych osobowych;</w:t>
      </w:r>
    </w:p>
    <w:p>
      <w:pPr>
        <w:pStyle w:val="ListParagraph"/>
        <w:numPr>
          <w:ilvl w:val="0"/>
          <w:numId w:val="2"/>
        </w:num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udostępnia Administratorowi wszelkie informacje niezbędne do wykazania spełnienia obowiązków określonych w art. 28 RODO oraz umożliwia Administratorowi lub upoważnionemu przez niego audytorowi przeprowadzanie audytów, w tym inspekcji, i przyczynia się do nich.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§6. Podpowierzenie (dalsze powierzenie)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Administrator wyraża ogólną zgodę na korzystanie przez Procesora z usług innych podmiotów przetwarzających (podprocesorów) w zakresie niezbędnym do realizacji Usług Głównych, w szczególności dostawców infrastruktury serwerowej / centrum danych, rejestratorów domen oraz dostawców usług pocztowych — zgodnie z aktualną listą stanowiącą Załącznik nr 2.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Procesor informuje Administratora o wszelkich zamierzonych zmianach dotyczących dodania lub zastąpienia innych podmiotów przetwarzających, dając Administratorowi możliwość wyrażenia sprzeciwu wobec takich zmian w terminie 14 dni od otrzymania informacji.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Procesor nakłada na podprocesora — w drodze umowy — te same obowiązki ochrony danych, jakie wynikają z niniejszej Umowy, w szczególności obowiązek zapewnienia wystarczających gwarancji wdrożenia odpowiednich środków technicznych i organizacyjnych, oraz odpowiada wobec Administratora za wypełnienie tych obowiązków przez każdego podprocesora.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§7. Środki techniczne i organizacyjne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Procesor wdraża i utrzymuje środki techniczne i organizacyjne adekwatne do ryzyka, obejmujące w szczególności:</w:t>
      </w:r>
    </w:p>
    <w:p>
      <w:pPr>
        <w:pStyle w:val="ListParagraph"/>
        <w:numPr>
          <w:ilvl w:val="0"/>
          <w:numId w:val="1"/>
        </w:numPr>
        <w:spacing w:after="100" w:line="300"/>
      </w:pPr>
      <w:r>
        <w:rPr>
          <w:rFonts w:ascii="Calibri" w:cs="Calibri" w:eastAsia="Calibri" w:hAnsi="Calibri"/>
          <w:sz w:val="22"/>
          <w:szCs w:val="22"/>
        </w:rPr>
        <w:t xml:space="preserve">kontrolę dostępu do serwerów wyłącznie poprzez uwierzytelnianie kluczem SSH oraz ograniczenie dostępu do zasobów według zasady minimalnych uprawnień;</w:t>
      </w:r>
    </w:p>
    <w:p>
      <w:pPr>
        <w:pStyle w:val="ListParagraph"/>
        <w:numPr>
          <w:ilvl w:val="0"/>
          <w:numId w:val="1"/>
        </w:numPr>
        <w:spacing w:after="100" w:line="300"/>
      </w:pPr>
      <w:r>
        <w:rPr>
          <w:rFonts w:ascii="Calibri" w:cs="Calibri" w:eastAsia="Calibri" w:hAnsi="Calibri"/>
          <w:sz w:val="22"/>
          <w:szCs w:val="22"/>
        </w:rPr>
        <w:t xml:space="preserve">zaporę sieciową (firewall) oraz systemy ograniczające próby nieautoryzowanego dostępu (m.in. Fail2ban);</w:t>
      </w:r>
    </w:p>
    <w:p>
      <w:pPr>
        <w:pStyle w:val="ListParagraph"/>
        <w:numPr>
          <w:ilvl w:val="0"/>
          <w:numId w:val="1"/>
        </w:numPr>
        <w:spacing w:after="100" w:line="300"/>
      </w:pPr>
      <w:r>
        <w:rPr>
          <w:rFonts w:ascii="Calibri" w:cs="Calibri" w:eastAsia="Calibri" w:hAnsi="Calibri"/>
          <w:sz w:val="22"/>
          <w:szCs w:val="22"/>
        </w:rPr>
        <w:t xml:space="preserve">szyfrowane połączenia (TLS/SSL) do transmisji danych;</w:t>
      </w:r>
    </w:p>
    <w:p>
      <w:pPr>
        <w:pStyle w:val="ListParagraph"/>
        <w:numPr>
          <w:ilvl w:val="0"/>
          <w:numId w:val="1"/>
        </w:numPr>
        <w:spacing w:after="100" w:line="300"/>
      </w:pPr>
      <w:r>
        <w:rPr>
          <w:rFonts w:ascii="Calibri" w:cs="Calibri" w:eastAsia="Calibri" w:hAnsi="Calibri"/>
          <w:sz w:val="22"/>
          <w:szCs w:val="22"/>
        </w:rPr>
        <w:t xml:space="preserve">regularne aktualizacje bezpieczeństwa systemu operacyjnego i oprogramowania serwerowego;</w:t>
      </w:r>
    </w:p>
    <w:p>
      <w:pPr>
        <w:pStyle w:val="ListParagraph"/>
        <w:numPr>
          <w:ilvl w:val="0"/>
          <w:numId w:val="1"/>
        </w:numPr>
        <w:spacing w:after="100" w:line="300"/>
      </w:pPr>
      <w:r>
        <w:rPr>
          <w:rFonts w:ascii="Calibri" w:cs="Calibri" w:eastAsia="Calibri" w:hAnsi="Calibri"/>
          <w:sz w:val="22"/>
          <w:szCs w:val="22"/>
        </w:rPr>
        <w:t xml:space="preserve">automatyczne kopie zapasowe wykonywane cyklicznie, przechowywane poza serwerem produkcyjnym, z okresowym testem odtwarzania;</w:t>
      </w:r>
    </w:p>
    <w:p>
      <w:pPr>
        <w:pStyle w:val="ListParagraph"/>
        <w:numPr>
          <w:ilvl w:val="0"/>
          <w:numId w:val="1"/>
        </w:numPr>
        <w:spacing w:after="100" w:line="300"/>
      </w:pPr>
      <w:r>
        <w:rPr>
          <w:rFonts w:ascii="Calibri" w:cs="Calibri" w:eastAsia="Calibri" w:hAnsi="Calibri"/>
          <w:sz w:val="22"/>
          <w:szCs w:val="22"/>
        </w:rPr>
        <w:t xml:space="preserve">monitoring dostępności i bezpieczeństwa infrastruktury (system klasy Zabbix) oraz rejestrowanie zdarzeń (logi);</w:t>
      </w:r>
    </w:p>
    <w:p>
      <w:pPr>
        <w:pStyle w:val="ListParagraph"/>
        <w:numPr>
          <w:ilvl w:val="0"/>
          <w:numId w:val="1"/>
        </w:numPr>
        <w:spacing w:after="100" w:line="300"/>
      </w:pPr>
      <w:r>
        <w:rPr>
          <w:rFonts w:ascii="Calibri" w:cs="Calibri" w:eastAsia="Calibri" w:hAnsi="Calibri"/>
          <w:sz w:val="22"/>
          <w:szCs w:val="22"/>
        </w:rPr>
        <w:t xml:space="preserve">procedury reagowania na incydenty bezpieczeństwa oraz zgłaszania naruszeń ochrony danych.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Szczegółowy opis wdrożonych środków może zostać udostępniony Administratorowi na jego żądanie.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§8. Zgłaszanie naruszeń ochrony danych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Procesor zgłasza Administratorowi każde stwierdzone naruszenie ochrony danych osobowych bez zbędnej zwłoki, nie później niż w ciągu 48 godzin od jego stwierdzenia.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Zgłoszenie zawiera co najmniej: opis charakteru naruszenia, przybliżoną liczbę osób i wpisów danych, których dotyczy naruszenie, opis możliwych konsekwencji oraz opis zastosowanych lub proponowanych środków zaradczych.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Procesor podejmuje działania niezbędne do ograniczenia skutków naruszenia oraz współpracuje z Administratorem przy zgłoszeniu naruszenia organowi nadzorczemu oraz osobom, których dane dotyczą, jeżeli taki obowiązek powstanie po stronie Administratora.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§9. Audyty i kontrole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Administrator ma prawo, po uprzednim uzgodnieniu terminu z co najmniej 7-dniowym wyprzedzeniem, zweryfikować zgodność przetwarzania danych przez Procesora z Umową, w szczególności poprzez przegląd dokumentacji dotyczącej wdrożonych środków bezpieczeństwa.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Kontrola odbywa się w sposób nienaruszający bezpieczeństwa innych klientów Procesora oraz tajemnicy przedsiębiorstwa, w godzinach pracy Procesora i nie częściej niż raz w roku kalendarzowym, chyba że wystąpiło naruszenie ochrony danych.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§10. Zakończenie przetwarzania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Po zakończeniu świadczenia Usług Głównych Procesor, zgodnie z dyspozycją Administratora, usuwa dane osobowe i wszelkie ich kopie w terminie 30 dni albo przekazuje je Administratorowi w ustalonym formacie, chyba że obowiązujące przepisy prawa nakazują ich dalsze przechowywanie.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Potwierdzenie usunięcia danych Procesor przekazuje Administratorowi na jego żądanie.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§11. Odpowiedzialność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Procesor odpowiada za szkody spowodowane przetwarzaniem danych wyłącznie wtedy, gdy nie dopełnił obowiązków, które RODO nakłada bezpośrednio na podmioty przetwarzające, lub gdy działał poza zgodnymi z prawem instrukcjami Administratora albo wbrew tym instrukcjom.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Odpowiedzialność Procesora z tytułu niniejszej Umowy ograniczona jest do rzeczywistej szkody i do wysokości wynagrodzenia netto otrzymanego od Administratora za Usługi Główne w okresie 12 miesięcy poprzedzających zdarzenie, chyba że szkoda powstała z winy umyślnej Procesora.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§12. Poufność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Procesor zobowiązuje się do zachowania w tajemnicy wszelkich danych osobowych oraz informacji powziętych w związku z realizacją Umowy, także po jej zakończeniu.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§13. Postanowienia końcowe</w:t>
      </w:r>
    </w:p>
    <w:p>
      <w:pPr>
        <w:pStyle w:val="ListParagraph"/>
        <w:numPr>
          <w:ilvl w:val="0"/>
          <w:numId w:val="3"/>
        </w:num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W sprawach nieuregulowanych Umową zastosowanie mają przepisy RODO oraz Kodeksu cywilnego.</w:t>
      </w:r>
    </w:p>
    <w:p>
      <w:pPr>
        <w:pStyle w:val="ListParagraph"/>
        <w:numPr>
          <w:ilvl w:val="0"/>
          <w:numId w:val="3"/>
        </w:num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Zmiana Umowy wymaga formy pisemnej lub dokumentowej (w tym elektronicznej, np. e-mail) pod rygorem nieważności.</w:t>
      </w:r>
    </w:p>
    <w:p>
      <w:pPr>
        <w:pStyle w:val="ListParagraph"/>
        <w:numPr>
          <w:ilvl w:val="0"/>
          <w:numId w:val="3"/>
        </w:num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Umowa została sporządzona w dwóch jednobrzmiących egzemplarzach, po jednym dla każdej ze Stron.</w:t>
      </w:r>
    </w:p>
    <w:p>
      <w:r>
        <w:br w:type="page"/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Załącznik nr 1 — Zakres przetwarzania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Kategorie osób, których dane dotyczą: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użytkownicy i klienci strony internetowej lub systemu Administratora, osoby kontaktujące się poprzez formularze i pocztę e-mail, pracownicy i współpracownicy Administratora posiadający dostęp do systemu lub skrzynek pocztowych.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Kategorie danych osobowych: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dane identyfikacyjne i kontaktowe (imię, nazwisko, e-mail, telefon, adres), dane zawarte w treści wiadomości, formularzy i zamówień, dane logowania (loginy, adresy IP), dane przechowywane w bazie danych aplikacji lub strony internetowej Administratora.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Czynności przetwarzania: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przechowywanie na serwerze, wykonywanie kopii zapasowych, monitorowanie i zabezpieczanie infrastruktury, instalacja aktualizacji, usuwanie awarii, wsparcie techniczne.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Załącznik nr 2 — Podprocesorzy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Aktualna lista dalszych podmiotów przetwarzających (m.in. dostawca infrastruktury serwerowej / centrum danych, rejestrator domen, dostawca usług pocztowych — o ile dotyczy danej usługi) jest udostępniana Administratorowi przed zawarciem Umowy oraz aktualizowana w razie zmian zgodnie z §6.</w:t>
      </w:r>
    </w:p>
    <w:p>
      <w:pPr>
        <w:spacing w:before="600"/>
      </w:pPr>
      <w:r>
        <w:rPr>
          <w:sz w:val="2"/>
          <w:szCs w:val="2"/>
        </w:rPr>
        <w:t xml:space="preserve"/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Podpisy Stron</w:t>
      </w:r>
    </w:p>
    <w:p>
      <w:pPr>
        <w:spacing w:after="80" w:before="600"/>
      </w:pPr>
      <w:r>
        <w:rPr>
          <w:rFonts w:ascii="Calibri" w:cs="Calibri" w:eastAsia="Calibri" w:hAnsi="Calibri"/>
          <w:sz w:val="22"/>
          <w:szCs w:val="22"/>
        </w:rPr>
        <w:t xml:space="preserve">…………………………………………………………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Procesor — Piek-Dev Jarosław Piekarski</w:t>
      </w:r>
    </w:p>
    <w:p>
      <w:pPr>
        <w:spacing w:after="80" w:before="600"/>
      </w:pPr>
      <w:r>
        <w:rPr>
          <w:rFonts w:ascii="Calibri" w:cs="Calibri" w:eastAsia="Calibri" w:hAnsi="Calibri"/>
          <w:sz w:val="22"/>
          <w:szCs w:val="22"/>
        </w:rPr>
        <w:t xml:space="preserve">…………………………………………………………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Administrator</w:t>
      </w:r>
    </w:p>
    <w:sectPr>
      <w:headerReference w:type="default" r:id="rIdHdr1"/>
      <w:footerReference w:type="default" r:id="rIdFtr1"/>
      <w:pgSz w:w="11906" w:h="16838" w:orient="portrait"/>
      <w:pgMar w:top="1417" w:right="1417" w:bottom="1417" w:left="1417" w:header="708" w:footer="53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3E85" w14:textId="0B784516" w:rsidR="00E71F07" w:rsidRDefault="00E71F07">
    <w:pPr>
      <w:pStyle w:val="Stopka"/>
    </w:pPr>
    <w:r>
      <w:t xml:space="preserve">NIP: </w:t>
    </w:r>
    <w:r w:rsidRPr="00E71F07">
      <w:t>8392919072</w:t>
    </w:r>
    <w:r>
      <w:t xml:space="preserve"> / Piek-</w:t>
    </w:r>
    <w:proofErr w:type="spellStart"/>
    <w:r>
      <w:t>Dev</w:t>
    </w:r>
    <w:proofErr w:type="spellEnd"/>
    <w:r>
      <w:t xml:space="preserve"> Jarosław Piekarski / </w:t>
    </w:r>
    <w:proofErr w:type="spellStart"/>
    <w:r>
      <w:t>tel</w:t>
    </w:r>
    <w:proofErr w:type="spellEnd"/>
    <w:r>
      <w:t xml:space="preserve">: 536 442 410 / </w:t>
    </w:r>
    <w:hyperlink r:id="rId1" w:history="1">
      <w:r w:rsidRPr="00956D37">
        <w:rPr>
          <w:rStyle w:val="Hipercze"/>
        </w:rPr>
        <w:t>www.piek-dev.pl</w:t>
      </w:r>
    </w:hyperlink>
    <w:r>
      <w:t xml:space="preserve"> 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C1323" w14:textId="77777777" w:rsidR="00E71F07" w:rsidRPr="00E71F07" w:rsidRDefault="004643E3" w:rsidP="00E71F07">
    <w:pPr>
      <w:pStyle w:val="Nagwek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F556624" wp14:editId="3226A105">
          <wp:simplePos x="0" y="0"/>
          <wp:positionH relativeFrom="column">
            <wp:posOffset>-61595</wp:posOffset>
          </wp:positionH>
          <wp:positionV relativeFrom="paragraph">
            <wp:posOffset>-176530</wp:posOffset>
          </wp:positionV>
          <wp:extent cx="1822450" cy="444764"/>
          <wp:effectExtent l="0" t="0" r="6350" b="0"/>
          <wp:wrapNone/>
          <wp:docPr id="6859359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306961" name="Obraz 6783069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2450" cy="4447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pict w14:anchorId="4538BA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952720" o:spid="_x0000_s1027" type="#_x0000_t75" style="position:absolute;left:0;text-align:left;margin-left:0;margin-top:0;width:617.15pt;height:872.2pt;z-index:-251656192;mso-position-horizontal:center;mso-position-horizontal-relative:margin;mso-position-vertical:center;mso-position-vertical-relative:margin" o:allowincell="f">
          <v:imagedata r:id="rId2" o:title="papier-tlo"/>
        </v:shape>
      </w:pict>
    </w:r>
    <w:r>
      <w:tab/>
    </w:r>
    <w:r w:rsidR="00E71F07" w:rsidRPr="00E71F07">
      <w:rPr>
        <w:b/>
      </w:rPr>
      <w:t>Piek-</w:t>
    </w:r>
    <w:proofErr w:type="spellStart"/>
    <w:r w:rsidR="00E71F07" w:rsidRPr="00E71F07">
      <w:rPr>
        <w:b/>
      </w:rPr>
      <w:t>Dev</w:t>
    </w:r>
    <w:proofErr w:type="spellEnd"/>
    <w:r w:rsidR="00E71F07" w:rsidRPr="00E71F07">
      <w:rPr>
        <w:b/>
      </w:rPr>
      <w:t xml:space="preserve"> Jarosław Piekarski</w:t>
    </w:r>
  </w:p>
  <w:p w14:paraId="7776E2C7" w14:textId="346276F5" w:rsidR="00E71F07" w:rsidRDefault="00E71F07" w:rsidP="00E71F07">
    <w:pPr>
      <w:spacing w:after="180"/>
      <w:jc w:val="right"/>
    </w:pPr>
    <w:proofErr w:type="spellStart"/>
    <w:proofErr w:type="gramStart"/>
    <w:r w:rsidRPr="00E71F07">
      <w:rPr>
        <w:sz w:val="16"/>
      </w:rPr>
      <w:t>WebDev</w:t>
    </w:r>
    <w:proofErr w:type="spellEnd"/>
    <w:r w:rsidRPr="00E71F07">
      <w:rPr>
        <w:sz w:val="16"/>
      </w:rPr>
      <w:t xml:space="preserve">  /</w:t>
    </w:r>
    <w:proofErr w:type="gramEnd"/>
    <w:r w:rsidRPr="00E71F07">
      <w:rPr>
        <w:sz w:val="16"/>
      </w:rPr>
      <w:t xml:space="preserve">  </w:t>
    </w:r>
    <w:proofErr w:type="spellStart"/>
    <w:proofErr w:type="gramStart"/>
    <w:r w:rsidRPr="00E71F07">
      <w:rPr>
        <w:sz w:val="16"/>
      </w:rPr>
      <w:t>DevOps</w:t>
    </w:r>
    <w:proofErr w:type="spellEnd"/>
    <w:r w:rsidRPr="00E71F07">
      <w:rPr>
        <w:sz w:val="16"/>
      </w:rPr>
      <w:t xml:space="preserve">  </w:t>
    </w:r>
    <w:r>
      <w:rPr>
        <w:color w:val="687078"/>
        <w:sz w:val="16"/>
      </w:rPr>
      <w:t>/</w:t>
    </w:r>
    <w:proofErr w:type="gramEnd"/>
  </w:p>
  <w:p w14:paraId="55A1DA14" w14:textId="26E6EDEC" w:rsidR="004643E3" w:rsidRDefault="004643E3" w:rsidP="004643E3">
    <w:pPr>
      <w:pStyle w:val="Nagwek"/>
      <w:tabs>
        <w:tab w:val="clear" w:pos="9072"/>
      </w:tabs>
      <w:ind w:left="-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)"/>
      <w:lvlJc w:val="left"/>
      <w:pPr>
        <w:ind w:left="504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4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 w:before="320"/>
    </w:pPr>
    <w:rPr>
      <w:rFonts w:ascii="Calibri" w:cs="Calibri" w:eastAsia="Calibri" w:hAnsi="Calibri"/>
      <w:b/>
      <w:bCs/>
      <w:color w:val="1a1a1a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Relationship Id="rIdHdr1" Type="http://schemas.openxmlformats.org/officeDocument/2006/relationships/header" Target="header2.xml"/><Relationship Id="rIdFtr1" Type="http://schemas.openxmlformats.org/officeDocument/2006/relationships/footer" Target="footer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iek-dev.pl" TargetMode="External"/></Relationships>
</file>

<file path=word/_rels/footnotes.xml.rels><?xml version="1.0" encoding="UTF-8"?><Relationships xmlns="http://schemas.openxmlformats.org/package/2006/relationships"/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powierzenia przetwarzania danych osobowych</dc:title>
  <dc:creator>Piek-Dev Jarosław Piekarski</dc:creator>
  <dc:description>Wzór umowy powierzenia przetwarzania danych osobowych (RODO, art. 28)</dc:description>
  <cp:lastModifiedBy>Un-named</cp:lastModifiedBy>
  <cp:revision>1</cp:revision>
  <dcterms:created xsi:type="dcterms:W3CDTF">2026-10-10T01:21:07.792Z</dcterms:created>
  <dcterms:modified xsi:type="dcterms:W3CDTF">2026-10-10T01:21:07.792Z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